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785739"/>
    <w:p w14:paraId="4D355AC5" w14:textId="2F9404ED" w:rsidR="00C76CF7" w:rsidRDefault="003E3F59" w:rsidP="00A86B84">
      <w:pPr>
        <w:pStyle w:val="Heading1"/>
        <w:numPr>
          <w:ilvl w:val="0"/>
          <w:numId w:val="0"/>
        </w:numPr>
        <w:spacing w:after="0"/>
        <w:rPr>
          <w:b/>
        </w:rPr>
      </w:pPr>
      <w:r w:rsidRPr="00445F5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32F3D0" wp14:editId="58123805">
                <wp:simplePos x="0" y="0"/>
                <wp:positionH relativeFrom="margin">
                  <wp:posOffset>3498850</wp:posOffset>
                </wp:positionH>
                <wp:positionV relativeFrom="paragraph">
                  <wp:posOffset>349250</wp:posOffset>
                </wp:positionV>
                <wp:extent cx="2451100" cy="251460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467D2" w14:textId="7F6291D2" w:rsidR="003E3F59" w:rsidRPr="003E3F59" w:rsidRDefault="003E3F59" w:rsidP="003E3F5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E3F59">
                              <w:rPr>
                                <w:b/>
                                <w:bCs/>
                              </w:rPr>
                              <w:t>Key Takeaways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D558780" w14:textId="0381189C" w:rsidR="003E3F59" w:rsidRDefault="003E3F59" w:rsidP="003E3F59">
                            <w:r>
                              <w:t>Most sites that are assessed are not selected for healthcare use.</w:t>
                            </w:r>
                          </w:p>
                          <w:p w14:paraId="7FAD8558" w14:textId="257DB639" w:rsidR="003E3F59" w:rsidRDefault="003E3F59" w:rsidP="003E3F59">
                            <w:r>
                              <w:t>USACE</w:t>
                            </w:r>
                            <w:r w:rsidR="00C64D36">
                              <w:t xml:space="preserve"> and</w:t>
                            </w:r>
                            <w:r>
                              <w:t xml:space="preserve"> HHS</w:t>
                            </w:r>
                            <w:r w:rsidR="00B55C4D">
                              <w:t xml:space="preserve"> </w:t>
                            </w:r>
                            <w:r w:rsidR="00C64D36">
                              <w:t xml:space="preserve">work together to </w:t>
                            </w:r>
                            <w:r w:rsidR="00736B63">
                              <w:t>provide</w:t>
                            </w:r>
                            <w:r>
                              <w:t xml:space="preserve"> a joint </w:t>
                            </w:r>
                            <w:r w:rsidR="00B55C4D">
                              <w:t>r</w:t>
                            </w:r>
                            <w:r>
                              <w:t>ecommendation</w:t>
                            </w:r>
                            <w:r w:rsidR="00C64D36">
                              <w:t>.</w:t>
                            </w:r>
                          </w:p>
                          <w:p w14:paraId="45194D36" w14:textId="62C46FF6" w:rsidR="003E3F59" w:rsidRDefault="003E3F59" w:rsidP="003E3F59">
                            <w:r>
                              <w:t xml:space="preserve">As of April 10, the time for assessments </w:t>
                            </w:r>
                            <w:r w:rsidR="00CF5DE0">
                              <w:t>may be</w:t>
                            </w:r>
                            <w:r>
                              <w:t xml:space="preserve"> ending. </w:t>
                            </w:r>
                            <w:r w:rsidR="00CF5DE0">
                              <w:t xml:space="preserve"> </w:t>
                            </w:r>
                            <w:r>
                              <w:t>Consider the time needed to prepare the site</w:t>
                            </w:r>
                            <w:r w:rsidR="00B55C4D">
                              <w:t>, if selected.</w:t>
                            </w:r>
                          </w:p>
                          <w:p w14:paraId="5EBCF2C8" w14:textId="6C79B594" w:rsidR="00CF5DE0" w:rsidRDefault="00CF5DE0" w:rsidP="003E3F59">
                            <w:r>
                              <w:t>States are ultimately responsible for determining how, where, and when to establish Alternate Care Sites.</w:t>
                            </w:r>
                          </w:p>
                          <w:p w14:paraId="5D8CE760" w14:textId="77777777" w:rsidR="003E3F59" w:rsidRDefault="003E3F59" w:rsidP="003E3F5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C507F93" w14:textId="77777777" w:rsidR="003E3F59" w:rsidRPr="00445F5F" w:rsidRDefault="003E3F59" w:rsidP="003E3F5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2F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5pt;margin-top:27.5pt;width:193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EQJgIAAEQEAAAOAAAAZHJzL2Uyb0RvYy54bWysU81u2zAMvg/YOwi6L/5B0rVGnKJLl2FA&#10;1w1o9wCyLMfCJFGTlNjZ04+S09TYbsN0EEiR+kh+JNe3o1bkKJyXYGpaLHJKhOHQSrOv6ffn3btr&#10;SnxgpmUKjKjpSXh6u3n7Zj3YSpTQg2qFIwhifDXYmvYh2CrLPO+FZn4BVhg0duA0C6i6fdY6NiC6&#10;VlmZ51fZAK61DrjwHl/vJyPdJPyuEzx87TovAlE1xdxCul26m3hnmzWr9o7ZXvJzGuwfstBMGgx6&#10;gbpngZGDk39BackdeOjCgoPOoOskF6kGrKbI/6jmqWdWpFqQHG8vNPn/B8sfj98ckS32jhLDNLbo&#10;WYyBfICRlJGdwfoKnZ4suoURn6NnrNTbB+A/PDGw7ZnZizvnYOgFazG7Iv7MZl8nHB9BmuELtBiG&#10;HQIkoLFzOgIiGQTRsUunS2diKhwfy+WqKHI0cbSVq2J5hUqMwaqX79b58EmAJlGoqcPWJ3h2fPBh&#10;cn1xSemDku1OKpUUt2+2ypEjwzHZpXNG93M3ZchQ05tVuZoYmNvSxIoLSBgnDpCnuZeWAcddSV3T&#10;6zyeGIZVkbaPpk1yYFJNMhanzJnHSN1EYhibER0juQ20J2TUwTTWuIYo9OB+UTLgSNfU/zwwJyhR&#10;nw125aZYLuMOJGW5el+i4uaWZm5hhiNUTQMlk7gNaW9ivgbusHudTLy+ZnLOFUc1dea8VnEX5nry&#10;el3+zW8AAAD//wMAUEsDBBQABgAIAAAAIQAYsoiY3AAAAAoBAAAPAAAAZHJzL2Rvd25yZXYueG1s&#10;TE9NS8NAEL0L/odlBG92U7VaYzZFKqknhUaheJtmxySYnQ3ZbRv/vZOTnuYN7/E+stXoOnWkIbSe&#10;DcxnCSjiytuWawMf78XVElSIyBY7z2TghwKs8vOzDFPrT7ylYxlrJSYcUjTQxNinWoeqIYdh5nti&#10;4b784DDKO9TaDngSc9fp6yS50w5bloQGe1o3VH2XB2fgZVM9l0EHLDbb1/5zvbOFfbPGXF6MT4+g&#10;Io3xTwxTfakOuXTa+wPboDoDi8VctsQJyBXBw829gL2B24nReab/T8h/AQAA//8DAFBLAQItABQA&#10;BgAIAAAAIQC2gziS/gAAAOEBAAATAAAAAAAAAAAAAAAAAAAAAABbQ29udGVudF9UeXBlc10ueG1s&#10;UEsBAi0AFAAGAAgAAAAhADj9If/WAAAAlAEAAAsAAAAAAAAAAAAAAAAALwEAAF9yZWxzLy5yZWxz&#10;UEsBAi0AFAAGAAgAAAAhAExOcRAmAgAARAQAAA4AAAAAAAAAAAAAAAAALgIAAGRycy9lMm9Eb2Mu&#10;eG1sUEsBAi0AFAAGAAgAAAAhABiyiJjcAAAACgEAAA8AAAAAAAAAAAAAAAAAgAQAAGRycy9kb3du&#10;cmV2LnhtbFBLBQYAAAAABAAEAPMAAACJBQAAAAA=&#10;" strokecolor="black [3213]">
                <v:textbox>
                  <w:txbxContent>
                    <w:p w14:paraId="603467D2" w14:textId="7F6291D2" w:rsidR="003E3F59" w:rsidRPr="003E3F59" w:rsidRDefault="003E3F59" w:rsidP="003E3F59">
                      <w:pPr>
                        <w:rPr>
                          <w:b/>
                          <w:bCs/>
                        </w:rPr>
                      </w:pPr>
                      <w:r w:rsidRPr="003E3F59">
                        <w:rPr>
                          <w:b/>
                          <w:bCs/>
                        </w:rPr>
                        <w:t>Key Takeaways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4D558780" w14:textId="0381189C" w:rsidR="003E3F59" w:rsidRDefault="003E3F59" w:rsidP="003E3F59">
                      <w:r>
                        <w:t>Most sites that are assessed are not selected for healthcare use.</w:t>
                      </w:r>
                    </w:p>
                    <w:p w14:paraId="7FAD8558" w14:textId="257DB639" w:rsidR="003E3F59" w:rsidRDefault="003E3F59" w:rsidP="003E3F59">
                      <w:r>
                        <w:t>USACE</w:t>
                      </w:r>
                      <w:r w:rsidR="00C64D36">
                        <w:t xml:space="preserve"> and</w:t>
                      </w:r>
                      <w:r>
                        <w:t xml:space="preserve"> HHS</w:t>
                      </w:r>
                      <w:r w:rsidR="00B55C4D">
                        <w:t xml:space="preserve"> </w:t>
                      </w:r>
                      <w:r w:rsidR="00C64D36">
                        <w:t xml:space="preserve">work together to </w:t>
                      </w:r>
                      <w:r w:rsidR="00736B63">
                        <w:t>provide</w:t>
                      </w:r>
                      <w:r>
                        <w:t xml:space="preserve"> a joint </w:t>
                      </w:r>
                      <w:r w:rsidR="00B55C4D">
                        <w:t>r</w:t>
                      </w:r>
                      <w:r>
                        <w:t>ecommendation</w:t>
                      </w:r>
                      <w:r w:rsidR="00C64D36">
                        <w:t>.</w:t>
                      </w:r>
                    </w:p>
                    <w:p w14:paraId="45194D36" w14:textId="62C46FF6" w:rsidR="003E3F59" w:rsidRDefault="003E3F59" w:rsidP="003E3F59">
                      <w:r>
                        <w:t xml:space="preserve">As of April 10, the time for assessments </w:t>
                      </w:r>
                      <w:r w:rsidR="00CF5DE0">
                        <w:t>may be</w:t>
                      </w:r>
                      <w:r>
                        <w:t xml:space="preserve"> ending. </w:t>
                      </w:r>
                      <w:r w:rsidR="00CF5DE0">
                        <w:t xml:space="preserve"> </w:t>
                      </w:r>
                      <w:r>
                        <w:t>Consider the time needed to prepare the site</w:t>
                      </w:r>
                      <w:r w:rsidR="00B55C4D">
                        <w:t>, if selected.</w:t>
                      </w:r>
                    </w:p>
                    <w:p w14:paraId="5EBCF2C8" w14:textId="6C79B594" w:rsidR="00CF5DE0" w:rsidRDefault="00CF5DE0" w:rsidP="003E3F59">
                      <w:r>
                        <w:t>States are ultimately responsible for determining how, where, and when to establish Alternate Care Sites.</w:t>
                      </w:r>
                    </w:p>
                    <w:p w14:paraId="5D8CE760" w14:textId="77777777" w:rsidR="003E3F59" w:rsidRDefault="003E3F59" w:rsidP="003E3F5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C507F93" w14:textId="77777777" w:rsidR="003E3F59" w:rsidRPr="00445F5F" w:rsidRDefault="003E3F59" w:rsidP="003E3F59">
                      <w:pPr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_GoBack"/>
      <w:bookmarkEnd w:id="1"/>
      <w:r w:rsidR="00C76CF7" w:rsidRPr="00C76CF7">
        <w:rPr>
          <w:b/>
        </w:rPr>
        <w:t>Site Assessments</w:t>
      </w:r>
      <w:bookmarkEnd w:id="0"/>
    </w:p>
    <w:p w14:paraId="12E809B1" w14:textId="624ED0DB" w:rsidR="00A86B84" w:rsidRPr="00A86B84" w:rsidRDefault="007609BF" w:rsidP="00A86B84">
      <w:pPr>
        <w:pStyle w:val="Heading1"/>
        <w:numPr>
          <w:ilvl w:val="0"/>
          <w:numId w:val="0"/>
        </w:numPr>
        <w:spacing w:before="0"/>
        <w:rPr>
          <w:sz w:val="22"/>
        </w:rPr>
      </w:pPr>
      <w:r>
        <w:rPr>
          <w:sz w:val="22"/>
        </w:rPr>
        <w:t>Alternate Care Site (ACS</w:t>
      </w:r>
      <w:r w:rsidR="00A86B84" w:rsidRPr="00A86B84">
        <w:rPr>
          <w:sz w:val="22"/>
        </w:rPr>
        <w:t>) Mission</w:t>
      </w:r>
    </w:p>
    <w:p w14:paraId="6AC881C5" w14:textId="328BC6F4" w:rsidR="00254932" w:rsidRDefault="00254932" w:rsidP="00C76CF7">
      <w:pPr>
        <w:pStyle w:val="ListParagraph"/>
      </w:pPr>
      <w:r>
        <w:rPr>
          <w:rFonts w:ascii="Arial" w:hAnsi="Arial"/>
          <w:color w:val="333333"/>
          <w:sz w:val="21"/>
          <w:szCs w:val="21"/>
          <w:shd w:val="clear" w:color="auto" w:fill="FFFFFF"/>
        </w:rPr>
        <w:t>An </w:t>
      </w:r>
      <w:r w:rsidRPr="00D55BC0">
        <w:t xml:space="preserve">Alternate Care Site (ACS) is a </w:t>
      </w:r>
      <w:r w:rsidR="00790A0C">
        <w:t xml:space="preserve">building </w:t>
      </w:r>
      <w:r w:rsidRPr="00D55BC0">
        <w:t>that</w:t>
      </w:r>
      <w:r w:rsidR="00F836C0">
        <w:t xml:space="preserve"> i</w:t>
      </w:r>
      <w:r w:rsidRPr="00D55BC0">
        <w:t xml:space="preserve">s temporarily converted for healthcare use during a public health emergency to </w:t>
      </w:r>
      <w:r w:rsidR="00E20D33">
        <w:t>provide additional healthcare capacity and capability for an affected community, outside the walls of a traditional, established healthcare institution</w:t>
      </w:r>
      <w:r w:rsidRPr="00D55BC0">
        <w:t>. </w:t>
      </w:r>
    </w:p>
    <w:p w14:paraId="292764CB" w14:textId="25951B69" w:rsidR="00254932" w:rsidRDefault="00976245" w:rsidP="00C76CF7">
      <w:pPr>
        <w:pStyle w:val="ListParagraph"/>
      </w:pPr>
      <w:r>
        <w:t>A s</w:t>
      </w:r>
      <w:r w:rsidR="00254932" w:rsidRPr="00D55BC0">
        <w:t>ite assessment</w:t>
      </w:r>
      <w:r>
        <w:t xml:space="preserve"> is</w:t>
      </w:r>
      <w:r w:rsidR="00254932" w:rsidRPr="00D55BC0">
        <w:t xml:space="preserve"> conducted to determine a site’s potential </w:t>
      </w:r>
      <w:r>
        <w:t xml:space="preserve">for </w:t>
      </w:r>
      <w:r w:rsidR="00E20D33">
        <w:t xml:space="preserve">healthcare </w:t>
      </w:r>
      <w:r>
        <w:t>use</w:t>
      </w:r>
      <w:r w:rsidR="00E92109">
        <w:t xml:space="preserve">.  States may be considering multiple </w:t>
      </w:r>
      <w:r w:rsidR="00E92109" w:rsidRPr="00E92109">
        <w:t xml:space="preserve">arenas, </w:t>
      </w:r>
      <w:r w:rsidR="00E92109">
        <w:t xml:space="preserve">convention centers, </w:t>
      </w:r>
      <w:r w:rsidR="00E92109" w:rsidRPr="00E92109">
        <w:t xml:space="preserve">hotels, </w:t>
      </w:r>
      <w:r w:rsidR="00E92109">
        <w:t>or other properties for use, and the site assessments can</w:t>
      </w:r>
      <w:r>
        <w:t xml:space="preserve"> </w:t>
      </w:r>
      <w:r w:rsidR="00E92109">
        <w:t xml:space="preserve">help </w:t>
      </w:r>
      <w:r w:rsidR="00254932">
        <w:t xml:space="preserve">prioritize </w:t>
      </w:r>
      <w:r w:rsidR="00E92109">
        <w:t xml:space="preserve">available </w:t>
      </w:r>
      <w:r w:rsidR="00254932">
        <w:t xml:space="preserve">site options </w:t>
      </w:r>
      <w:r w:rsidR="00557AC6">
        <w:t xml:space="preserve">for </w:t>
      </w:r>
      <w:r w:rsidR="00E92109">
        <w:t>further development</w:t>
      </w:r>
      <w:r w:rsidR="00D55BC0">
        <w:t xml:space="preserve">.  </w:t>
      </w:r>
    </w:p>
    <w:p w14:paraId="67528DE5" w14:textId="4F58C263" w:rsidR="00656052" w:rsidRPr="00D55BC0" w:rsidRDefault="00297A80" w:rsidP="00E92109">
      <w:pPr>
        <w:pStyle w:val="ListParagraph"/>
      </w:pPr>
      <w:r w:rsidRPr="00D55BC0">
        <w:t xml:space="preserve">Site assessments </w:t>
      </w:r>
      <w:r w:rsidR="00F836C0">
        <w:t xml:space="preserve">help </w:t>
      </w:r>
      <w:r w:rsidRPr="00D55BC0">
        <w:t xml:space="preserve">determine </w:t>
      </w:r>
      <w:r w:rsidR="00F836C0">
        <w:t>whether</w:t>
      </w:r>
      <w:r w:rsidRPr="00D55BC0">
        <w:t xml:space="preserve"> </w:t>
      </w:r>
      <w:r w:rsidR="00F836C0">
        <w:t xml:space="preserve">healthcare </w:t>
      </w:r>
      <w:r w:rsidRPr="00D55BC0">
        <w:t xml:space="preserve">requirements </w:t>
      </w:r>
      <w:r w:rsidR="00F836C0">
        <w:t xml:space="preserve">can be met.  Some of the </w:t>
      </w:r>
      <w:r w:rsidR="00112C7C">
        <w:t>considerations</w:t>
      </w:r>
      <w:r w:rsidR="00F836C0">
        <w:t xml:space="preserve"> include the number of pat</w:t>
      </w:r>
      <w:r w:rsidRPr="00D55BC0">
        <w:t xml:space="preserve">ients </w:t>
      </w:r>
      <w:r w:rsidR="00B55C4D">
        <w:t>it would support</w:t>
      </w:r>
      <w:r w:rsidR="00E92109">
        <w:t>,</w:t>
      </w:r>
      <w:r w:rsidRPr="00D55BC0">
        <w:t xml:space="preserve"> the proximity to nearby hospitals</w:t>
      </w:r>
      <w:r w:rsidR="00E92109">
        <w:t>,</w:t>
      </w:r>
      <w:r w:rsidRPr="00D55BC0">
        <w:t xml:space="preserve"> utility requirements, air filtration and handling capacities</w:t>
      </w:r>
      <w:r w:rsidR="00E92109">
        <w:t>,</w:t>
      </w:r>
      <w:r w:rsidRPr="00D55BC0">
        <w:t xml:space="preserve"> safety features for emergency response and egress</w:t>
      </w:r>
      <w:r w:rsidR="00E92109">
        <w:t>,</w:t>
      </w:r>
      <w:r w:rsidRPr="00D55BC0">
        <w:t xml:space="preserve"> staging of ambulances</w:t>
      </w:r>
      <w:r w:rsidR="00E92109">
        <w:t>,</w:t>
      </w:r>
      <w:r w:rsidRPr="00D55BC0">
        <w:t xml:space="preserve"> and parking availability.</w:t>
      </w:r>
      <w:r w:rsidR="00656052">
        <w:t xml:space="preserve">  </w:t>
      </w:r>
    </w:p>
    <w:p w14:paraId="651A7556" w14:textId="480A5446" w:rsidR="00297A80" w:rsidRPr="00D55BC0" w:rsidRDefault="00254932" w:rsidP="00D55BC0">
      <w:pPr>
        <w:pStyle w:val="ListParagraph"/>
      </w:pPr>
      <w:r>
        <w:t xml:space="preserve">Before proposing </w:t>
      </w:r>
      <w:r w:rsidR="00D55BC0">
        <w:t>new assess</w:t>
      </w:r>
      <w:r w:rsidR="001152E6">
        <w:t>ments</w:t>
      </w:r>
      <w:r w:rsidR="00D55BC0">
        <w:t xml:space="preserve">, States should consider </w:t>
      </w:r>
      <w:r w:rsidR="001152E6">
        <w:t xml:space="preserve">their ability to staff the site and </w:t>
      </w:r>
      <w:r>
        <w:t>the amount of time required to prepare</w:t>
      </w:r>
      <w:r w:rsidR="001152E6">
        <w:t xml:space="preserve"> it for healthcare use</w:t>
      </w:r>
      <w:r>
        <w:t xml:space="preserve">.  </w:t>
      </w:r>
      <w:r w:rsidRPr="00D55BC0">
        <w:t xml:space="preserve">The average timeline for conversion of a </w:t>
      </w:r>
      <w:r w:rsidRPr="00515FBC">
        <w:t xml:space="preserve">site </w:t>
      </w:r>
      <w:r w:rsidR="00D67938" w:rsidRPr="00515FBC">
        <w:t>for healthcare use</w:t>
      </w:r>
      <w:r w:rsidR="00D67938">
        <w:t xml:space="preserve"> </w:t>
      </w:r>
      <w:r w:rsidRPr="00D55BC0">
        <w:t xml:space="preserve">is between </w:t>
      </w:r>
      <w:r w:rsidR="00515FBC" w:rsidRPr="00E10BC7">
        <w:rPr>
          <w:rFonts w:eastAsia="Times New Roman" w:cstheme="minorHAnsi"/>
        </w:rPr>
        <w:t>5 days and 2 weeks.</w:t>
      </w:r>
      <w:r w:rsidR="00976245">
        <w:t xml:space="preserve"> </w:t>
      </w:r>
      <w:r w:rsidRPr="00D55BC0">
        <w:t xml:space="preserve"> The time varies from site to site </w:t>
      </w:r>
      <w:r w:rsidR="00D55BC0" w:rsidRPr="00D55BC0">
        <w:t>based</w:t>
      </w:r>
      <w:r w:rsidRPr="00D55BC0">
        <w:t xml:space="preserve"> </w:t>
      </w:r>
      <w:r w:rsidR="00CD01A2" w:rsidRPr="00D55BC0">
        <w:t>several</w:t>
      </w:r>
      <w:r w:rsidRPr="00D55BC0">
        <w:t xml:space="preserve"> factors</w:t>
      </w:r>
      <w:r w:rsidR="00D55BC0" w:rsidRPr="00D55BC0">
        <w:t>,</w:t>
      </w:r>
      <w:r w:rsidRPr="00D55BC0">
        <w:t xml:space="preserve"> including the </w:t>
      </w:r>
      <w:r w:rsidR="00E20D33">
        <w:t xml:space="preserve">level of patient care, </w:t>
      </w:r>
      <w:r w:rsidRPr="00D55BC0">
        <w:t>number of patient beds</w:t>
      </w:r>
      <w:r w:rsidR="00E20D33">
        <w:t>,</w:t>
      </w:r>
      <w:r w:rsidRPr="00D55BC0">
        <w:t xml:space="preserve"> and the extent of </w:t>
      </w:r>
      <w:r w:rsidR="00976245">
        <w:t>work required</w:t>
      </w:r>
      <w:r w:rsidRPr="00D55BC0">
        <w:t>.</w:t>
      </w:r>
      <w:r w:rsidR="001152E6">
        <w:t xml:space="preserve">  </w:t>
      </w:r>
    </w:p>
    <w:p w14:paraId="43145AB4" w14:textId="77777777" w:rsidR="00297A80" w:rsidRPr="00EE777B" w:rsidRDefault="00D55BC0" w:rsidP="00CE1FA1">
      <w:pPr>
        <w:pStyle w:val="ListParagraph"/>
      </w:pPr>
      <w:r w:rsidRPr="00D55BC0">
        <w:t xml:space="preserve">Municipalities </w:t>
      </w:r>
      <w:r w:rsidR="00E92109">
        <w:t>seeking</w:t>
      </w:r>
      <w:r w:rsidRPr="00D55BC0">
        <w:t xml:space="preserve"> support with the Site Assessments should coordinate </w:t>
      </w:r>
      <w:r>
        <w:t xml:space="preserve">their requirements </w:t>
      </w:r>
      <w:r w:rsidRPr="00D55BC0">
        <w:t>with their State Emergency Operations Center.</w:t>
      </w:r>
      <w:r w:rsidR="00976245">
        <w:t xml:space="preserve"> </w:t>
      </w:r>
      <w:r w:rsidR="00E92109">
        <w:t xml:space="preserve"> </w:t>
      </w:r>
      <w:r w:rsidR="00295E10">
        <w:t>The Federal Emergency Management Agency (</w:t>
      </w:r>
      <w:r w:rsidR="00CE1FA1" w:rsidRPr="000E6E1E">
        <w:t>FEM</w:t>
      </w:r>
      <w:r w:rsidR="00CE1FA1">
        <w:t>A</w:t>
      </w:r>
      <w:r w:rsidR="00295E10">
        <w:t>)</w:t>
      </w:r>
      <w:r w:rsidR="00CE1FA1">
        <w:t xml:space="preserve"> may </w:t>
      </w:r>
      <w:r w:rsidR="00E92109">
        <w:t>task</w:t>
      </w:r>
      <w:r w:rsidR="00CE1FA1">
        <w:t xml:space="preserve"> </w:t>
      </w:r>
      <w:r w:rsidR="00295E10">
        <w:t>the US Army Corps of Engineers (</w:t>
      </w:r>
      <w:r w:rsidR="00CE1FA1">
        <w:t>USACE</w:t>
      </w:r>
      <w:r w:rsidR="00295E10">
        <w:t>)</w:t>
      </w:r>
      <w:r w:rsidR="00CE1FA1">
        <w:t xml:space="preserve"> and </w:t>
      </w:r>
      <w:r w:rsidR="00295E10">
        <w:t>the Department of Health and Human Services (</w:t>
      </w:r>
      <w:r w:rsidR="00CE1FA1">
        <w:t>HHS</w:t>
      </w:r>
      <w:r w:rsidR="00295E10">
        <w:t>)</w:t>
      </w:r>
      <w:r w:rsidR="00CE1FA1">
        <w:t xml:space="preserve"> </w:t>
      </w:r>
      <w:r w:rsidR="00E92109">
        <w:t>to support this work</w:t>
      </w:r>
      <w:r w:rsidR="00976245">
        <w:t xml:space="preserve"> based on </w:t>
      </w:r>
      <w:r w:rsidR="00976245" w:rsidRPr="00EE777B">
        <w:t>State-FEMA priorities.</w:t>
      </w:r>
    </w:p>
    <w:p w14:paraId="77E6F515" w14:textId="4FDD1977" w:rsidR="000107DB" w:rsidRPr="00EE777B" w:rsidRDefault="00FD4E5A" w:rsidP="00C76CF7">
      <w:pPr>
        <w:pStyle w:val="ListParagraph"/>
      </w:pPr>
      <w:r w:rsidRPr="00EE777B">
        <w:t>If the Federal Government will be supporting the site</w:t>
      </w:r>
      <w:r w:rsidR="00BD64FE" w:rsidRPr="00EE777B">
        <w:t xml:space="preserve"> assessments</w:t>
      </w:r>
      <w:r w:rsidRPr="00EE777B">
        <w:t xml:space="preserve">, </w:t>
      </w:r>
      <w:r w:rsidR="000107DB" w:rsidRPr="00EE777B">
        <w:t xml:space="preserve">the </w:t>
      </w:r>
      <w:r w:rsidR="00A53403" w:rsidRPr="00EE777B">
        <w:t xml:space="preserve">best practice is to </w:t>
      </w:r>
      <w:r w:rsidR="000107DB" w:rsidRPr="00EE777B">
        <w:t xml:space="preserve">have </w:t>
      </w:r>
      <w:r w:rsidR="00A15277" w:rsidRPr="00EE777B">
        <w:t>USACE and HHS assess the site jointly</w:t>
      </w:r>
      <w:r w:rsidR="00A53403" w:rsidRPr="00EE777B">
        <w:t xml:space="preserve"> and </w:t>
      </w:r>
      <w:r w:rsidR="00B55C4D" w:rsidRPr="00EE777B">
        <w:t>provide</w:t>
      </w:r>
      <w:r w:rsidR="00A53403" w:rsidRPr="00EE777B">
        <w:t xml:space="preserve"> joint documentation</w:t>
      </w:r>
      <w:r w:rsidR="000107DB" w:rsidRPr="00EE777B">
        <w:t xml:space="preserve">, if </w:t>
      </w:r>
      <w:r w:rsidR="00A53403" w:rsidRPr="00EE777B">
        <w:t>there is enough time and local personnel to do so</w:t>
      </w:r>
      <w:r w:rsidR="000107DB" w:rsidRPr="00EE777B">
        <w:t xml:space="preserve">.  USACE, HHS, FEMA, and State </w:t>
      </w:r>
      <w:r w:rsidR="00B55C4D" w:rsidRPr="00EE777B">
        <w:t xml:space="preserve">experts </w:t>
      </w:r>
      <w:r w:rsidR="00A53403" w:rsidRPr="00EE777B">
        <w:t xml:space="preserve">should make every effort to </w:t>
      </w:r>
      <w:r w:rsidR="000107DB" w:rsidRPr="00EE777B">
        <w:t xml:space="preserve">synchronize perspectives and provide a joint recommendation </w:t>
      </w:r>
      <w:r w:rsidR="00CF5DE0" w:rsidRPr="00EE777B">
        <w:t>for</w:t>
      </w:r>
      <w:r w:rsidR="000107DB" w:rsidRPr="00EE777B">
        <w:t xml:space="preserve"> the use of the site.</w:t>
      </w:r>
    </w:p>
    <w:p w14:paraId="7EE88BE5" w14:textId="56E6EE21" w:rsidR="0001497C" w:rsidRDefault="00E37E8C" w:rsidP="00C76CF7">
      <w:pPr>
        <w:pStyle w:val="ListParagraph"/>
      </w:pPr>
      <w:r w:rsidRPr="00EE777B">
        <w:t>If tasked</w:t>
      </w:r>
      <w:r w:rsidR="00D67938" w:rsidRPr="00EE777B">
        <w:t xml:space="preserve"> by FEMA</w:t>
      </w:r>
      <w:r w:rsidRPr="00EE777B">
        <w:t xml:space="preserve">, USACE Districts can provide a multidisciplinary team </w:t>
      </w:r>
      <w:r w:rsidR="00CF5DE0" w:rsidRPr="00EE777B">
        <w:t>to</w:t>
      </w:r>
      <w:r w:rsidR="00A9588E" w:rsidRPr="00EE777B">
        <w:t xml:space="preserve"> </w:t>
      </w:r>
      <w:r w:rsidR="00515FBC" w:rsidRPr="00EE777B">
        <w:t xml:space="preserve">review the site for technical concerns and </w:t>
      </w:r>
      <w:r w:rsidR="00A9588E" w:rsidRPr="00EE777B">
        <w:t>provide a recommendation</w:t>
      </w:r>
      <w:r w:rsidR="00515FBC" w:rsidRPr="00EE777B">
        <w:t xml:space="preserve"> as to whether it would be </w:t>
      </w:r>
      <w:r w:rsidR="00A9588E" w:rsidRPr="00EE777B">
        <w:t>viab</w:t>
      </w:r>
      <w:r w:rsidR="00515FBC" w:rsidRPr="00EE777B">
        <w:t>le</w:t>
      </w:r>
      <w:r w:rsidR="00A9588E" w:rsidRPr="00515FBC">
        <w:t xml:space="preserve"> for Acute </w:t>
      </w:r>
      <w:r w:rsidR="00B55C4D">
        <w:t>vs.</w:t>
      </w:r>
      <w:r w:rsidR="00A9588E" w:rsidRPr="00515FBC">
        <w:t xml:space="preserve"> Non-Acute </w:t>
      </w:r>
      <w:r w:rsidR="00B55C4D">
        <w:t>use</w:t>
      </w:r>
      <w:r w:rsidR="00A9588E" w:rsidRPr="00515FBC">
        <w:t xml:space="preserve">. </w:t>
      </w:r>
      <w:r w:rsidR="00515FBC" w:rsidRPr="00515FBC">
        <w:t xml:space="preserve"> They </w:t>
      </w:r>
      <w:r w:rsidR="00CF5DE0">
        <w:t>may</w:t>
      </w:r>
      <w:r w:rsidR="00CF5DE0" w:rsidRPr="00515FBC">
        <w:t xml:space="preserve"> </w:t>
      </w:r>
      <w:r w:rsidRPr="00515FBC">
        <w:t>develop</w:t>
      </w:r>
      <w:r w:rsidR="00DA3E64" w:rsidRPr="00515FBC">
        <w:t xml:space="preserve"> a rough cost estimate</w:t>
      </w:r>
      <w:r w:rsidR="00515FBC" w:rsidRPr="00515FBC">
        <w:t xml:space="preserve"> for the conversion</w:t>
      </w:r>
      <w:r w:rsidR="00CF5DE0">
        <w:t>,</w:t>
      </w:r>
      <w:r w:rsidR="00515FBC" w:rsidRPr="00515FBC">
        <w:t xml:space="preserve"> which will</w:t>
      </w:r>
      <w:r w:rsidRPr="00515FBC">
        <w:t xml:space="preserve"> help in prioritizing available sites and in developing the Mission Assignment Task Order</w:t>
      </w:r>
      <w:r w:rsidR="00E92109" w:rsidRPr="00515FBC">
        <w:t>.</w:t>
      </w:r>
      <w:r w:rsidR="00FD4E5A">
        <w:t xml:space="preserve">  </w:t>
      </w:r>
    </w:p>
    <w:p w14:paraId="3A4BCE99" w14:textId="35658BA4" w:rsidR="00CD01A2" w:rsidRDefault="0001497C" w:rsidP="00C76CF7">
      <w:pPr>
        <w:pStyle w:val="ListParagraph"/>
      </w:pPr>
      <w:r>
        <w:t xml:space="preserve">HHS medical experts can support assessments by </w:t>
      </w:r>
      <w:r w:rsidR="00E37E8C">
        <w:t>providing</w:t>
      </w:r>
      <w:r>
        <w:t xml:space="preserve"> recommendations </w:t>
      </w:r>
      <w:r w:rsidR="00E37E8C">
        <w:t xml:space="preserve">as to what </w:t>
      </w:r>
      <w:r w:rsidR="00D55BC0">
        <w:t xml:space="preserve">type of patients (COVID vs. Non-COVID) and </w:t>
      </w:r>
      <w:r w:rsidR="00E37E8C">
        <w:t xml:space="preserve">level of care (Acute vs. Non-Acute) might best meet the State’s medical needs, and </w:t>
      </w:r>
      <w:r w:rsidR="00CD01A2">
        <w:t xml:space="preserve">provide considerations related to </w:t>
      </w:r>
      <w:r w:rsidR="00D67938">
        <w:t>w</w:t>
      </w:r>
      <w:r w:rsidR="00CD01A2">
        <w:t xml:space="preserve">raparound services, equipping, staffing, and operating the site. </w:t>
      </w:r>
    </w:p>
    <w:p w14:paraId="31F9AFAC" w14:textId="2585BEE6" w:rsidR="009529FB" w:rsidRDefault="00295E10" w:rsidP="00803B82">
      <w:pPr>
        <w:pStyle w:val="ListParagraph"/>
      </w:pPr>
      <w:r>
        <w:t>T</w:t>
      </w:r>
      <w:r w:rsidR="00CD01A2">
        <w:t xml:space="preserve">he State is ultimately responsible for determining which </w:t>
      </w:r>
      <w:r w:rsidR="00790A0C">
        <w:t xml:space="preserve">sites </w:t>
      </w:r>
      <w:r w:rsidR="00CD01A2">
        <w:t xml:space="preserve">will be developed, what level of care will be provided, and what kinds of patients they will be treating </w:t>
      </w:r>
      <w:r w:rsidR="00790A0C">
        <w:t>at the site</w:t>
      </w:r>
      <w:r w:rsidR="00CD01A2">
        <w:t xml:space="preserve">. </w:t>
      </w:r>
    </w:p>
    <w:sectPr w:rsidR="009529FB" w:rsidSect="00EE777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3E9"/>
    <w:multiLevelType w:val="hybridMultilevel"/>
    <w:tmpl w:val="47F86A2C"/>
    <w:lvl w:ilvl="0" w:tplc="9C76D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C5E86"/>
    <w:multiLevelType w:val="hybridMultilevel"/>
    <w:tmpl w:val="F5D6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D2D83"/>
    <w:multiLevelType w:val="multilevel"/>
    <w:tmpl w:val="9D6CBE2C"/>
    <w:styleLink w:val="Headings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suff w:val="nothing"/>
      <w:lvlText w:val="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152" w:hanging="432"/>
      </w:pPr>
      <w:rPr>
        <w:rFonts w:hint="default"/>
        <w:u w:color="0000FF"/>
      </w:rPr>
    </w:lvl>
    <w:lvl w:ilvl="4">
      <w:start w:val="1"/>
      <w:numFmt w:val="lowerLetter"/>
      <w:pStyle w:val="Heading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AAD79A8"/>
    <w:multiLevelType w:val="hybridMultilevel"/>
    <w:tmpl w:val="04EAEF8A"/>
    <w:lvl w:ilvl="0" w:tplc="271CC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F7"/>
    <w:rsid w:val="000107DB"/>
    <w:rsid w:val="0001497C"/>
    <w:rsid w:val="000B4639"/>
    <w:rsid w:val="000D1FC5"/>
    <w:rsid w:val="000E6E1E"/>
    <w:rsid w:val="0011253B"/>
    <w:rsid w:val="00112C7C"/>
    <w:rsid w:val="001152E6"/>
    <w:rsid w:val="001C151F"/>
    <w:rsid w:val="00222EA7"/>
    <w:rsid w:val="0024759F"/>
    <w:rsid w:val="00254932"/>
    <w:rsid w:val="002557A7"/>
    <w:rsid w:val="00295E10"/>
    <w:rsid w:val="00297A80"/>
    <w:rsid w:val="003D0717"/>
    <w:rsid w:val="003E3F59"/>
    <w:rsid w:val="00445F5F"/>
    <w:rsid w:val="004D5734"/>
    <w:rsid w:val="004F1AB5"/>
    <w:rsid w:val="00515FBC"/>
    <w:rsid w:val="005256C1"/>
    <w:rsid w:val="005553C9"/>
    <w:rsid w:val="00557AC6"/>
    <w:rsid w:val="005840B7"/>
    <w:rsid w:val="00631287"/>
    <w:rsid w:val="00656052"/>
    <w:rsid w:val="006B46AA"/>
    <w:rsid w:val="00736B63"/>
    <w:rsid w:val="007404A5"/>
    <w:rsid w:val="007609BF"/>
    <w:rsid w:val="0077177E"/>
    <w:rsid w:val="007748E6"/>
    <w:rsid w:val="00790A0C"/>
    <w:rsid w:val="00803B82"/>
    <w:rsid w:val="00817C56"/>
    <w:rsid w:val="0083115E"/>
    <w:rsid w:val="008B100B"/>
    <w:rsid w:val="008D5793"/>
    <w:rsid w:val="009529FB"/>
    <w:rsid w:val="00972AF9"/>
    <w:rsid w:val="00976245"/>
    <w:rsid w:val="009C5D55"/>
    <w:rsid w:val="00A15277"/>
    <w:rsid w:val="00A53403"/>
    <w:rsid w:val="00A86B84"/>
    <w:rsid w:val="00A9588E"/>
    <w:rsid w:val="00AB1FC6"/>
    <w:rsid w:val="00B55C4D"/>
    <w:rsid w:val="00BD64FE"/>
    <w:rsid w:val="00C06ED5"/>
    <w:rsid w:val="00C3313C"/>
    <w:rsid w:val="00C64D36"/>
    <w:rsid w:val="00C76CF7"/>
    <w:rsid w:val="00C96B03"/>
    <w:rsid w:val="00CD01A2"/>
    <w:rsid w:val="00CE1FA1"/>
    <w:rsid w:val="00CF5DE0"/>
    <w:rsid w:val="00D55BC0"/>
    <w:rsid w:val="00D67938"/>
    <w:rsid w:val="00D755D2"/>
    <w:rsid w:val="00D81605"/>
    <w:rsid w:val="00DA3E64"/>
    <w:rsid w:val="00E20D33"/>
    <w:rsid w:val="00E37E8C"/>
    <w:rsid w:val="00E430B9"/>
    <w:rsid w:val="00E92109"/>
    <w:rsid w:val="00ED0D3B"/>
    <w:rsid w:val="00ED1C53"/>
    <w:rsid w:val="00EE1488"/>
    <w:rsid w:val="00EE777B"/>
    <w:rsid w:val="00F03A46"/>
    <w:rsid w:val="00F836C0"/>
    <w:rsid w:val="00FA4565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9CF1"/>
  <w15:chartTrackingRefBased/>
  <w15:docId w15:val="{6E41B1EC-B78F-4C9F-B0DB-85A9FE0D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C76CF7"/>
    <w:pPr>
      <w:keepNext/>
      <w:keepLines/>
      <w:numPr>
        <w:numId w:val="1"/>
      </w:numPr>
      <w:spacing w:before="360" w:after="2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Heading1"/>
    <w:next w:val="ListParagraph"/>
    <w:link w:val="Heading2Char"/>
    <w:uiPriority w:val="9"/>
    <w:unhideWhenUsed/>
    <w:qFormat/>
    <w:rsid w:val="00C76CF7"/>
    <w:pPr>
      <w:numPr>
        <w:ilvl w:val="1"/>
      </w:numPr>
      <w:spacing w:before="40"/>
      <w:outlineLvl w:val="1"/>
    </w:pPr>
    <w:rPr>
      <w:color w:val="auto"/>
      <w:sz w:val="28"/>
      <w:szCs w:val="26"/>
    </w:rPr>
  </w:style>
  <w:style w:type="paragraph" w:styleId="Heading3">
    <w:name w:val="heading 3"/>
    <w:basedOn w:val="Heading2"/>
    <w:next w:val="Heading4"/>
    <w:link w:val="Heading3Char"/>
    <w:autoRedefine/>
    <w:uiPriority w:val="9"/>
    <w:unhideWhenUsed/>
    <w:qFormat/>
    <w:rsid w:val="00C76CF7"/>
    <w:pPr>
      <w:numPr>
        <w:ilvl w:val="2"/>
      </w:numPr>
      <w:spacing w:before="240"/>
      <w:ind w:hanging="450"/>
      <w:outlineLvl w:val="2"/>
    </w:pPr>
    <w:rPr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C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next w:val="ListParagraph"/>
    <w:link w:val="Heading5Char"/>
    <w:uiPriority w:val="9"/>
    <w:unhideWhenUsed/>
    <w:qFormat/>
    <w:rsid w:val="00C76CF7"/>
    <w:pPr>
      <w:numPr>
        <w:ilvl w:val="4"/>
        <w:numId w:val="1"/>
      </w:numPr>
      <w:spacing w:after="200" w:line="276" w:lineRule="auto"/>
      <w:outlineLvl w:val="4"/>
    </w:pPr>
    <w:rPr>
      <w:rFonts w:asciiTheme="majorHAnsi" w:eastAsiaTheme="majorEastAsia" w:hAnsiTheme="majorHAnsi" w:cstheme="majorBidi"/>
      <w:i/>
      <w:iCs/>
      <w:color w:val="C45911" w:themeColor="accent2" w:themeShade="BF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C76CF7"/>
    <w:pPr>
      <w:keepNext/>
      <w:keepLines/>
      <w:numPr>
        <w:ilvl w:val="5"/>
        <w:numId w:val="1"/>
      </w:numPr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Heading6"/>
    <w:next w:val="ListParagraph"/>
    <w:link w:val="Heading7Char"/>
    <w:uiPriority w:val="9"/>
    <w:unhideWhenUsed/>
    <w:qFormat/>
    <w:rsid w:val="00C76CF7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76CF7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CF7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CF7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CF7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6CF7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6CF7"/>
    <w:rPr>
      <w:rFonts w:asciiTheme="majorHAnsi" w:eastAsiaTheme="majorEastAsia" w:hAnsiTheme="majorHAnsi" w:cstheme="majorBidi"/>
      <w:i/>
      <w:iCs/>
      <w:color w:val="C45911" w:themeColor="accent2" w:themeShade="B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76C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76C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C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C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76CF7"/>
    <w:pPr>
      <w:spacing w:line="240" w:lineRule="auto"/>
    </w:pPr>
    <w:rPr>
      <w:rFonts w:cs="Arial"/>
      <w:color w:val="000000" w:themeColor="text1"/>
      <w:sz w:val="24"/>
      <w:szCs w:val="24"/>
    </w:rPr>
  </w:style>
  <w:style w:type="numbering" w:customStyle="1" w:styleId="HeadingsList">
    <w:name w:val="HeadingsList"/>
    <w:uiPriority w:val="99"/>
    <w:rsid w:val="00C76CF7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76C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E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97A80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297A8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7A80"/>
    <w:rPr>
      <w:rFonts w:ascii="Calibri" w:eastAsia="Calibri" w:hAnsi="Calibri" w:cs="Times New Roman"/>
      <w:szCs w:val="21"/>
    </w:rPr>
  </w:style>
  <w:style w:type="paragraph" w:styleId="Revision">
    <w:name w:val="Revision"/>
    <w:hidden/>
    <w:uiPriority w:val="99"/>
    <w:semiHidden/>
    <w:rsid w:val="00295E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0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D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D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Talbot, David M CIV USARMY CEHQ (US)</dc:creator>
  <cp:keywords/>
  <dc:description/>
  <cp:lastModifiedBy>Talbot, David M CIV USARMY CEHQ (USA)</cp:lastModifiedBy>
  <cp:revision>2</cp:revision>
  <cp:lastPrinted>2020-03-22T22:40:00Z</cp:lastPrinted>
  <dcterms:created xsi:type="dcterms:W3CDTF">2020-04-14T12:41:00Z</dcterms:created>
  <dcterms:modified xsi:type="dcterms:W3CDTF">2020-04-14T12:41:00Z</dcterms:modified>
</cp:coreProperties>
</file>